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41" w:rsidRDefault="008C4041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</w:p>
    <w:p w:rsidR="00C46C17" w:rsidRPr="008C4041" w:rsidRDefault="00C46C17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  <w:r w:rsidRPr="008C4041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AMAÇ:</w:t>
      </w:r>
    </w:p>
    <w:p w:rsidR="008C4041" w:rsidRPr="008C4041" w:rsidRDefault="008C4041" w:rsidP="008C4041">
      <w:pPr>
        <w:pStyle w:val="ListeParagraf"/>
        <w:widowControl w:val="0"/>
        <w:autoSpaceDE w:val="0"/>
        <w:autoSpaceDN w:val="0"/>
        <w:adjustRightInd w:val="0"/>
        <w:ind w:left="-207"/>
        <w:rPr>
          <w:rFonts w:ascii="Book Antiqua" w:hAnsi="Book Antiqua"/>
          <w:color w:val="000000"/>
          <w:sz w:val="22"/>
          <w:szCs w:val="22"/>
          <w:u w:val="single"/>
        </w:rPr>
      </w:pPr>
    </w:p>
    <w:p w:rsidR="008C4041" w:rsidRDefault="00C46C17" w:rsidP="008C4041">
      <w:pPr>
        <w:widowControl w:val="0"/>
        <w:autoSpaceDE w:val="0"/>
        <w:autoSpaceDN w:val="0"/>
        <w:adjustRightInd w:val="0"/>
        <w:spacing w:before="57" w:line="255" w:lineRule="auto"/>
        <w:ind w:left="-567" w:right="80" w:firstLine="360"/>
        <w:jc w:val="both"/>
        <w:rPr>
          <w:rFonts w:ascii="Book Antiqua" w:hAnsi="Book Antiqua"/>
          <w:color w:val="000000"/>
          <w:sz w:val="22"/>
          <w:szCs w:val="22"/>
        </w:rPr>
      </w:pPr>
      <w:r w:rsidRPr="008C4041">
        <w:rPr>
          <w:rFonts w:ascii="Book Antiqua" w:hAnsi="Book Antiqua"/>
          <w:color w:val="000000"/>
          <w:sz w:val="22"/>
          <w:szCs w:val="22"/>
        </w:rPr>
        <w:t>Kan Merkezinde miadı dolan, test şüpheli ve kliniklerden gelen uygunsuz kanların imhasını sağlamak.</w:t>
      </w:r>
    </w:p>
    <w:p w:rsidR="008C4041" w:rsidRDefault="008C4041" w:rsidP="008C4041">
      <w:pPr>
        <w:widowControl w:val="0"/>
        <w:autoSpaceDE w:val="0"/>
        <w:autoSpaceDN w:val="0"/>
        <w:adjustRightInd w:val="0"/>
        <w:spacing w:before="57" w:line="255" w:lineRule="auto"/>
        <w:ind w:left="-567" w:right="80"/>
        <w:jc w:val="both"/>
        <w:rPr>
          <w:rFonts w:ascii="Book Antiqua" w:hAnsi="Book Antiqua"/>
          <w:color w:val="000000"/>
          <w:sz w:val="22"/>
          <w:szCs w:val="22"/>
        </w:rPr>
      </w:pPr>
    </w:p>
    <w:p w:rsidR="00E15C0C" w:rsidRDefault="00C46C17" w:rsidP="008C4041">
      <w:pPr>
        <w:widowControl w:val="0"/>
        <w:autoSpaceDE w:val="0"/>
        <w:autoSpaceDN w:val="0"/>
        <w:adjustRightInd w:val="0"/>
        <w:spacing w:before="57" w:line="255" w:lineRule="auto"/>
        <w:ind w:left="-567"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8C4041">
        <w:rPr>
          <w:rFonts w:ascii="Book Antiqua" w:hAnsi="Book Antiqua"/>
          <w:b/>
          <w:color w:val="000000"/>
          <w:sz w:val="22"/>
          <w:szCs w:val="22"/>
          <w:u w:val="single"/>
        </w:rPr>
        <w:t>KAPSAM:</w:t>
      </w:r>
      <w:r w:rsidRPr="008C4041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15C0C" w:rsidRDefault="00E15C0C" w:rsidP="008C4041">
      <w:pPr>
        <w:widowControl w:val="0"/>
        <w:autoSpaceDE w:val="0"/>
        <w:autoSpaceDN w:val="0"/>
        <w:adjustRightInd w:val="0"/>
        <w:spacing w:before="57" w:line="255" w:lineRule="auto"/>
        <w:ind w:left="-567" w:right="80"/>
        <w:jc w:val="both"/>
        <w:rPr>
          <w:rFonts w:ascii="Book Antiqua" w:hAnsi="Book Antiqua"/>
          <w:color w:val="000000"/>
          <w:sz w:val="22"/>
          <w:szCs w:val="22"/>
        </w:rPr>
      </w:pPr>
    </w:p>
    <w:p w:rsidR="00C46C17" w:rsidRPr="008C4041" w:rsidRDefault="00C46C17" w:rsidP="00E15C0C">
      <w:pPr>
        <w:widowControl w:val="0"/>
        <w:autoSpaceDE w:val="0"/>
        <w:autoSpaceDN w:val="0"/>
        <w:adjustRightInd w:val="0"/>
        <w:spacing w:before="57" w:line="255" w:lineRule="auto"/>
        <w:ind w:left="-567" w:right="80" w:firstLine="425"/>
        <w:jc w:val="both"/>
        <w:rPr>
          <w:rFonts w:ascii="Book Antiqua" w:hAnsi="Book Antiqua"/>
          <w:color w:val="000000"/>
          <w:sz w:val="22"/>
          <w:szCs w:val="22"/>
        </w:rPr>
      </w:pPr>
      <w:r w:rsidRPr="008C4041">
        <w:rPr>
          <w:rFonts w:ascii="Book Antiqua" w:hAnsi="Book Antiqua"/>
          <w:color w:val="000000"/>
          <w:sz w:val="22"/>
          <w:szCs w:val="22"/>
        </w:rPr>
        <w:t>Donör ve hastaları kapsar.</w:t>
      </w:r>
    </w:p>
    <w:p w:rsidR="008C4041" w:rsidRPr="008C4041" w:rsidRDefault="008C4041" w:rsidP="008C4041">
      <w:pPr>
        <w:pStyle w:val="ListeParagraf"/>
        <w:widowControl w:val="0"/>
        <w:autoSpaceDE w:val="0"/>
        <w:autoSpaceDN w:val="0"/>
        <w:adjustRightInd w:val="0"/>
        <w:spacing w:before="57" w:line="255" w:lineRule="auto"/>
        <w:ind w:left="-207" w:right="80"/>
        <w:jc w:val="both"/>
        <w:rPr>
          <w:rFonts w:ascii="Book Antiqua" w:hAnsi="Book Antiqua"/>
          <w:color w:val="000000"/>
          <w:sz w:val="22"/>
          <w:szCs w:val="22"/>
        </w:rPr>
      </w:pPr>
    </w:p>
    <w:p w:rsidR="00C46C17" w:rsidRDefault="00C46C17" w:rsidP="008C4041">
      <w:pPr>
        <w:widowControl w:val="0"/>
        <w:autoSpaceDE w:val="0"/>
        <w:autoSpaceDN w:val="0"/>
        <w:adjustRightInd w:val="0"/>
        <w:spacing w:before="57" w:line="255" w:lineRule="auto"/>
        <w:ind w:left="-567" w:right="8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8C4041">
        <w:rPr>
          <w:rFonts w:ascii="Book Antiqua" w:hAnsi="Book Antiqua"/>
          <w:b/>
          <w:color w:val="000000"/>
          <w:sz w:val="22"/>
          <w:szCs w:val="22"/>
          <w:u w:val="single"/>
        </w:rPr>
        <w:t>SORUMLULAR:</w:t>
      </w:r>
    </w:p>
    <w:p w:rsidR="00960E22" w:rsidRPr="008C4041" w:rsidRDefault="00960E22" w:rsidP="008C4041">
      <w:pPr>
        <w:widowControl w:val="0"/>
        <w:autoSpaceDE w:val="0"/>
        <w:autoSpaceDN w:val="0"/>
        <w:adjustRightInd w:val="0"/>
        <w:spacing w:before="57" w:line="255" w:lineRule="auto"/>
        <w:ind w:left="-567" w:right="8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C46C17" w:rsidRPr="008C4041" w:rsidRDefault="00C46C17" w:rsidP="00960E2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57"/>
        <w:ind w:left="284" w:right="80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8C4041">
        <w:rPr>
          <w:rFonts w:ascii="Book Antiqua" w:hAnsi="Book Antiqua"/>
          <w:color w:val="000000"/>
          <w:sz w:val="22"/>
          <w:szCs w:val="22"/>
        </w:rPr>
        <w:t>Baştabip</w:t>
      </w:r>
    </w:p>
    <w:p w:rsidR="00C46C17" w:rsidRPr="008C4041" w:rsidRDefault="00C46C17" w:rsidP="00960E2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57"/>
        <w:ind w:left="284" w:right="80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8C4041">
        <w:rPr>
          <w:rFonts w:ascii="Book Antiqua" w:hAnsi="Book Antiqua"/>
          <w:color w:val="000000"/>
          <w:sz w:val="22"/>
          <w:szCs w:val="22"/>
        </w:rPr>
        <w:t>Kan merkezi Sorumlu Hekim</w:t>
      </w:r>
    </w:p>
    <w:p w:rsidR="00C46C17" w:rsidRPr="008C4041" w:rsidRDefault="00C46C17" w:rsidP="00960E2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57"/>
        <w:ind w:left="284" w:right="80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8C4041">
        <w:rPr>
          <w:rFonts w:ascii="Book Antiqua" w:hAnsi="Book Antiqua"/>
          <w:color w:val="000000"/>
          <w:sz w:val="22"/>
          <w:szCs w:val="22"/>
        </w:rPr>
        <w:t>Hasta hekim ve hemşiresi</w:t>
      </w:r>
    </w:p>
    <w:p w:rsidR="00C46C17" w:rsidRPr="008C4041" w:rsidRDefault="00C46C17" w:rsidP="00960E2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57"/>
        <w:ind w:left="284" w:right="80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8C4041">
        <w:rPr>
          <w:rFonts w:ascii="Book Antiqua" w:hAnsi="Book Antiqua"/>
          <w:color w:val="000000"/>
          <w:sz w:val="22"/>
          <w:szCs w:val="22"/>
        </w:rPr>
        <w:t>Laboratu</w:t>
      </w:r>
      <w:r w:rsidR="00960E22">
        <w:rPr>
          <w:rFonts w:ascii="Book Antiqua" w:hAnsi="Book Antiqua"/>
          <w:color w:val="000000"/>
          <w:sz w:val="22"/>
          <w:szCs w:val="22"/>
        </w:rPr>
        <w:t>v</w:t>
      </w:r>
      <w:r w:rsidRPr="008C4041">
        <w:rPr>
          <w:rFonts w:ascii="Book Antiqua" w:hAnsi="Book Antiqua"/>
          <w:color w:val="000000"/>
          <w:sz w:val="22"/>
          <w:szCs w:val="22"/>
        </w:rPr>
        <w:t>ar Teknisyenleri</w:t>
      </w:r>
    </w:p>
    <w:p w:rsidR="00C46C17" w:rsidRDefault="00C46C17" w:rsidP="00960E2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57"/>
        <w:ind w:left="284" w:right="80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8C4041">
        <w:rPr>
          <w:rFonts w:ascii="Book Antiqua" w:hAnsi="Book Antiqua"/>
          <w:color w:val="000000"/>
          <w:sz w:val="22"/>
          <w:szCs w:val="22"/>
        </w:rPr>
        <w:t>Taşıma personeli</w:t>
      </w:r>
    </w:p>
    <w:p w:rsidR="00960E22" w:rsidRPr="008C4041" w:rsidRDefault="00960E22" w:rsidP="00960E22">
      <w:pPr>
        <w:widowControl w:val="0"/>
        <w:autoSpaceDE w:val="0"/>
        <w:autoSpaceDN w:val="0"/>
        <w:adjustRightInd w:val="0"/>
        <w:spacing w:before="57"/>
        <w:ind w:left="284" w:right="80"/>
        <w:jc w:val="both"/>
        <w:rPr>
          <w:rFonts w:ascii="Book Antiqua" w:hAnsi="Book Antiqua"/>
          <w:color w:val="000000"/>
          <w:sz w:val="22"/>
          <w:szCs w:val="22"/>
        </w:rPr>
      </w:pPr>
    </w:p>
    <w:p w:rsidR="00C46C17" w:rsidRPr="008C4041" w:rsidRDefault="00C46C17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color w:val="000000"/>
          <w:sz w:val="8"/>
          <w:szCs w:val="8"/>
        </w:rPr>
      </w:pPr>
    </w:p>
    <w:p w:rsidR="00C46C17" w:rsidRDefault="00C46C17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8C4041">
        <w:rPr>
          <w:rFonts w:ascii="Book Antiqua" w:hAnsi="Book Antiqua"/>
          <w:b/>
          <w:color w:val="000000"/>
          <w:sz w:val="22"/>
          <w:szCs w:val="22"/>
          <w:u w:val="single"/>
        </w:rPr>
        <w:t>UYGULAMA:</w:t>
      </w:r>
    </w:p>
    <w:p w:rsidR="008C4041" w:rsidRPr="008C4041" w:rsidRDefault="008C4041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b/>
          <w:color w:val="FF0000"/>
          <w:sz w:val="22"/>
          <w:szCs w:val="22"/>
        </w:rPr>
      </w:pPr>
    </w:p>
    <w:p w:rsidR="00C46C17" w:rsidRPr="00E15C0C" w:rsidRDefault="00C46C17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E15C0C">
        <w:rPr>
          <w:rFonts w:ascii="Book Antiqua" w:hAnsi="Book Antiqua"/>
          <w:b/>
          <w:color w:val="000000"/>
          <w:sz w:val="22"/>
          <w:szCs w:val="22"/>
          <w:u w:val="single"/>
        </w:rPr>
        <w:t>KAN VE</w:t>
      </w:r>
      <w:r w:rsidR="00960E22" w:rsidRPr="00E15C0C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KAN</w:t>
      </w:r>
      <w:r w:rsidRPr="00E15C0C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BİLEŞENLERİNİN İMHASI</w:t>
      </w:r>
    </w:p>
    <w:p w:rsidR="00960E22" w:rsidRPr="008C4041" w:rsidRDefault="00960E22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b/>
          <w:color w:val="000000"/>
          <w:sz w:val="22"/>
          <w:szCs w:val="22"/>
        </w:rPr>
      </w:pPr>
    </w:p>
    <w:p w:rsidR="00C46C17" w:rsidRPr="00960E22" w:rsidRDefault="00C46C17" w:rsidP="00960E22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before="6"/>
        <w:ind w:left="284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960E22">
        <w:rPr>
          <w:rFonts w:ascii="Book Antiqua" w:hAnsi="Book Antiqua"/>
          <w:color w:val="000000"/>
          <w:sz w:val="22"/>
          <w:szCs w:val="22"/>
        </w:rPr>
        <w:t xml:space="preserve">Transfüzyon başlamadan önce </w:t>
      </w:r>
      <w:r w:rsidR="00E15C0C">
        <w:rPr>
          <w:rFonts w:ascii="Book Antiqua" w:hAnsi="Book Antiqua"/>
          <w:color w:val="000000"/>
          <w:sz w:val="22"/>
          <w:szCs w:val="22"/>
        </w:rPr>
        <w:t>“</w:t>
      </w:r>
      <w:r w:rsidRPr="00960E22">
        <w:rPr>
          <w:rFonts w:ascii="Book Antiqua" w:hAnsi="Book Antiqua"/>
          <w:color w:val="000000"/>
          <w:sz w:val="22"/>
          <w:szCs w:val="22"/>
        </w:rPr>
        <w:t xml:space="preserve">Kan </w:t>
      </w:r>
      <w:r w:rsidR="00960E22" w:rsidRPr="00960E22">
        <w:rPr>
          <w:rFonts w:ascii="Book Antiqua" w:hAnsi="Book Antiqua"/>
          <w:color w:val="000000"/>
          <w:sz w:val="22"/>
          <w:szCs w:val="22"/>
        </w:rPr>
        <w:t>v</w:t>
      </w:r>
      <w:r w:rsidRPr="00960E22">
        <w:rPr>
          <w:rFonts w:ascii="Book Antiqua" w:hAnsi="Book Antiqua"/>
          <w:color w:val="000000"/>
          <w:sz w:val="22"/>
          <w:szCs w:val="22"/>
        </w:rPr>
        <w:t xml:space="preserve">e Kan </w:t>
      </w:r>
      <w:r w:rsidR="003D3B43">
        <w:rPr>
          <w:rFonts w:ascii="Book Antiqua" w:hAnsi="Book Antiqua"/>
          <w:color w:val="000000"/>
          <w:sz w:val="22"/>
          <w:szCs w:val="22"/>
        </w:rPr>
        <w:t>Ürün</w:t>
      </w:r>
      <w:r w:rsidRPr="00960E22">
        <w:rPr>
          <w:rFonts w:ascii="Book Antiqua" w:hAnsi="Book Antiqua"/>
          <w:color w:val="000000"/>
          <w:sz w:val="22"/>
          <w:szCs w:val="22"/>
        </w:rPr>
        <w:t>leri İçin</w:t>
      </w:r>
      <w:r w:rsidR="00FB707D" w:rsidRPr="00960E22">
        <w:rPr>
          <w:rFonts w:ascii="Book Antiqua" w:hAnsi="Book Antiqua"/>
          <w:color w:val="000000"/>
          <w:sz w:val="22"/>
          <w:szCs w:val="22"/>
        </w:rPr>
        <w:t xml:space="preserve"> </w:t>
      </w:r>
      <w:r w:rsidR="00FB707D">
        <w:rPr>
          <w:rFonts w:ascii="Book Antiqua" w:hAnsi="Book Antiqua"/>
          <w:color w:val="000000"/>
          <w:sz w:val="22"/>
          <w:szCs w:val="22"/>
        </w:rPr>
        <w:t>Aydınlatılmış</w:t>
      </w:r>
      <w:r w:rsidR="00FB707D" w:rsidRPr="00960E22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60E22">
        <w:rPr>
          <w:rFonts w:ascii="Book Antiqua" w:hAnsi="Book Antiqua"/>
          <w:color w:val="000000"/>
          <w:sz w:val="22"/>
          <w:szCs w:val="22"/>
        </w:rPr>
        <w:t>Onam Formu</w:t>
      </w:r>
      <w:r w:rsidR="00E15C0C">
        <w:rPr>
          <w:rFonts w:ascii="Book Antiqua" w:hAnsi="Book Antiqua"/>
          <w:color w:val="000000"/>
          <w:sz w:val="22"/>
          <w:szCs w:val="22"/>
        </w:rPr>
        <w:t>”</w:t>
      </w:r>
      <w:r w:rsidRPr="00960E22">
        <w:rPr>
          <w:rFonts w:ascii="Book Antiqua" w:hAnsi="Book Antiqua"/>
          <w:color w:val="000000"/>
          <w:sz w:val="22"/>
          <w:szCs w:val="22"/>
        </w:rPr>
        <w:t xml:space="preserve">  hasta veya hasta yakınına okutulmalı veya anlatılarak imzası alınmalıdır. </w:t>
      </w:r>
    </w:p>
    <w:p w:rsidR="00C46C17" w:rsidRPr="00960E22" w:rsidRDefault="00E15C0C" w:rsidP="00960E22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284" w:firstLine="0"/>
        <w:jc w:val="both"/>
        <w:rPr>
          <w:rFonts w:ascii="Book Antiqua" w:hAnsi="Book Antiqua"/>
          <w:bCs/>
          <w:color w:val="363435"/>
          <w:sz w:val="22"/>
          <w:szCs w:val="22"/>
        </w:rPr>
      </w:pPr>
      <w:r>
        <w:rPr>
          <w:rFonts w:ascii="Book Antiqua" w:hAnsi="Book Antiqua"/>
          <w:bCs/>
          <w:color w:val="363435"/>
          <w:sz w:val="22"/>
          <w:szCs w:val="22"/>
        </w:rPr>
        <w:t xml:space="preserve">Uygunsuzluk görülürse, Kan ve Kan </w:t>
      </w:r>
      <w:r w:rsidR="003D3B43">
        <w:rPr>
          <w:rFonts w:ascii="Book Antiqua" w:hAnsi="Book Antiqua"/>
          <w:bCs/>
          <w:color w:val="363435"/>
          <w:sz w:val="22"/>
          <w:szCs w:val="22"/>
        </w:rPr>
        <w:t>Ürün</w:t>
      </w:r>
      <w:r>
        <w:rPr>
          <w:rFonts w:ascii="Book Antiqua" w:hAnsi="Book Antiqua"/>
          <w:bCs/>
          <w:color w:val="363435"/>
          <w:sz w:val="22"/>
          <w:szCs w:val="22"/>
        </w:rPr>
        <w:t>ler</w:t>
      </w:r>
      <w:r w:rsidR="00C46C17" w:rsidRPr="00960E22">
        <w:rPr>
          <w:rFonts w:ascii="Book Antiqua" w:hAnsi="Book Antiqua"/>
          <w:bCs/>
          <w:color w:val="363435"/>
          <w:sz w:val="22"/>
          <w:szCs w:val="22"/>
        </w:rPr>
        <w:t xml:space="preserve">i </w:t>
      </w:r>
      <w:r>
        <w:rPr>
          <w:rFonts w:ascii="Book Antiqua" w:hAnsi="Book Antiqua"/>
          <w:bCs/>
          <w:color w:val="363435"/>
          <w:sz w:val="22"/>
          <w:szCs w:val="22"/>
        </w:rPr>
        <w:t>Transfüzyon İzlem</w:t>
      </w:r>
      <w:r w:rsidR="00C46C17" w:rsidRPr="00960E22">
        <w:rPr>
          <w:rFonts w:ascii="Book Antiqua" w:hAnsi="Book Antiqua"/>
          <w:bCs/>
          <w:color w:val="363435"/>
          <w:sz w:val="22"/>
          <w:szCs w:val="22"/>
        </w:rPr>
        <w:t xml:space="preserve"> Formunun bir nüshası ile birlikte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="00C46C17"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Merkezine iade edilir.</w:t>
      </w:r>
    </w:p>
    <w:p w:rsidR="00C46C17" w:rsidRPr="00960E22" w:rsidRDefault="00C46C17" w:rsidP="00960E22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284" w:firstLine="0"/>
        <w:jc w:val="both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Cs/>
          <w:color w:val="363435"/>
          <w:sz w:val="22"/>
          <w:szCs w:val="22"/>
        </w:rPr>
        <w:t>Transfüzyon başladıktan sonra reaksiyon görülürse</w:t>
      </w:r>
      <w:r w:rsidRPr="00960E22">
        <w:rPr>
          <w:rFonts w:ascii="Book Antiqua" w:hAnsi="Book Antiqua"/>
          <w:color w:val="000000"/>
          <w:sz w:val="22"/>
          <w:szCs w:val="22"/>
        </w:rPr>
        <w:t xml:space="preserve"> veya herhangi bir nedenle transfüzyon kesilirse,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kan torbası ile hastanın diğer kolundan alınan kan örneği ve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Transfüzyon İzlem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Formunun</w:t>
      </w:r>
      <w:r w:rsidRPr="00960E22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bir nüshası ile birlikte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Merkezine iade edilir.</w:t>
      </w:r>
    </w:p>
    <w:p w:rsidR="00C46C17" w:rsidRPr="00960E22" w:rsidRDefault="00960E22" w:rsidP="00960E22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284" w:firstLine="0"/>
        <w:jc w:val="both"/>
        <w:rPr>
          <w:rFonts w:ascii="Book Antiqua" w:hAnsi="Book Antiqua"/>
          <w:bCs/>
          <w:color w:val="363435"/>
          <w:sz w:val="22"/>
          <w:szCs w:val="22"/>
        </w:rPr>
      </w:pPr>
      <w:r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="00C46C17"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Merkezine gönderilen numune ve torbadan gerekli testler çalışılır. Uygun olmayan kriterler incelenir, sonuca göre imha edilip edilmeyeceğine karar verilir </w:t>
      </w:r>
    </w:p>
    <w:p w:rsidR="00C46C17" w:rsidRPr="00960E22" w:rsidRDefault="00C46C17" w:rsidP="00960E22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284" w:firstLine="0"/>
        <w:jc w:val="both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İmha edilmesi gerekirse,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Merkezinden gerekçe yazılarak imha edilir</w:t>
      </w:r>
    </w:p>
    <w:p w:rsidR="00E15C0C" w:rsidRDefault="00C46C17" w:rsidP="00E15C0C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284" w:firstLine="0"/>
        <w:jc w:val="both"/>
        <w:rPr>
          <w:rFonts w:ascii="Book Antiqua" w:hAnsi="Book Antiqua"/>
          <w:bCs/>
          <w:color w:val="363435"/>
          <w:sz w:val="22"/>
          <w:szCs w:val="22"/>
        </w:rPr>
      </w:pPr>
      <w:r w:rsidRPr="00E15C0C">
        <w:rPr>
          <w:rFonts w:ascii="Book Antiqua" w:hAnsi="Book Antiqua"/>
          <w:bCs/>
          <w:color w:val="363435"/>
          <w:sz w:val="22"/>
          <w:szCs w:val="22"/>
        </w:rPr>
        <w:t xml:space="preserve">Uygunsuzluk tespit edilmezse, </w:t>
      </w:r>
      <w:r w:rsidR="00E15C0C" w:rsidRPr="00E15C0C">
        <w:rPr>
          <w:rFonts w:ascii="Book Antiqua" w:hAnsi="Book Antiqua"/>
          <w:bCs/>
          <w:color w:val="363435"/>
          <w:sz w:val="22"/>
          <w:szCs w:val="22"/>
        </w:rPr>
        <w:t>k</w:t>
      </w:r>
      <w:r w:rsidRPr="00E15C0C">
        <w:rPr>
          <w:rFonts w:ascii="Book Antiqua" w:hAnsi="Book Antiqua"/>
          <w:bCs/>
          <w:color w:val="363435"/>
          <w:sz w:val="22"/>
          <w:szCs w:val="22"/>
        </w:rPr>
        <w:t>linik haberdar edilir, kullanılıp kullanılmayacağına klinik hekiminin kararı beklenir. Setin takılmasından itibaren 3 saat içinde bu işlemin yapılması gerekir.</w:t>
      </w:r>
    </w:p>
    <w:p w:rsidR="00FB707D" w:rsidRDefault="00FB707D" w:rsidP="00FB707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color w:val="363435"/>
          <w:sz w:val="22"/>
          <w:szCs w:val="22"/>
        </w:rPr>
      </w:pPr>
    </w:p>
    <w:p w:rsidR="00FB707D" w:rsidRDefault="00FB707D" w:rsidP="00FB707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color w:val="363435"/>
          <w:sz w:val="22"/>
          <w:szCs w:val="22"/>
        </w:rPr>
      </w:pPr>
    </w:p>
    <w:p w:rsidR="00FB707D" w:rsidRPr="00FB707D" w:rsidRDefault="00FB707D" w:rsidP="00FB707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color w:val="363435"/>
          <w:sz w:val="22"/>
          <w:szCs w:val="22"/>
        </w:rPr>
      </w:pPr>
    </w:p>
    <w:p w:rsidR="00C46C17" w:rsidRPr="00960E22" w:rsidRDefault="00C46C17" w:rsidP="00960E22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284" w:firstLine="0"/>
        <w:jc w:val="both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Farklı nedenlerden dolayı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Merkezinden alındığı halde takılmayan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k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an ve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k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an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bileşenlerinin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imhası her ürüne göre değişmektedir.</w:t>
      </w:r>
    </w:p>
    <w:p w:rsidR="00960E22" w:rsidRPr="008C4041" w:rsidRDefault="00960E22" w:rsidP="008C4041">
      <w:pPr>
        <w:widowControl w:val="0"/>
        <w:autoSpaceDE w:val="0"/>
        <w:autoSpaceDN w:val="0"/>
        <w:adjustRightInd w:val="0"/>
        <w:ind w:left="-567"/>
        <w:jc w:val="both"/>
        <w:rPr>
          <w:rFonts w:ascii="Book Antiqua" w:hAnsi="Book Antiqua"/>
          <w:bCs/>
          <w:color w:val="363435"/>
          <w:sz w:val="22"/>
          <w:szCs w:val="22"/>
        </w:rPr>
      </w:pPr>
    </w:p>
    <w:p w:rsidR="00C46C17" w:rsidRPr="00960E22" w:rsidRDefault="00C46C17" w:rsidP="00960E22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/>
          <w:bCs/>
          <w:color w:val="363435"/>
          <w:sz w:val="22"/>
          <w:szCs w:val="22"/>
        </w:rPr>
        <w:lastRenderedPageBreak/>
        <w:t>Tam kan ve eritrosit süspansiyonları: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Merkezinden çıktıktan sonra 30 dk.</w:t>
      </w:r>
      <w:r w:rsidR="00960E22" w:rsidRP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içinde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Merkezine gönderilirse imha edilmez.</w:t>
      </w:r>
      <w:r w:rsid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30 dk.dan fazla dışarıda beklerse; ilgili kan,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="00960E22" w:rsidRP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>Merkezinde imha edilir.</w:t>
      </w:r>
      <w:r w:rsid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Set takılıp belirli bir süre geçen kanlar kullanılmayacaksa, yine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M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>erkezinde imha edilir.</w:t>
      </w:r>
      <w:r w:rsid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Transfüzyon başlayıp daha sonra reaksiyon oluşan hastalarda, hasta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k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>an numunesi ile torba numunesi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nin tahlilleri yapılmak üzere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Merkezine gönderilir.</w:t>
      </w:r>
      <w:r w:rsid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>Uygunsuzluk varsa imha edilir.</w:t>
      </w:r>
      <w:r w:rsid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Uygunsuzluk yoksa, ilgili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k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>linik karar verir.</w:t>
      </w:r>
    </w:p>
    <w:p w:rsidR="00960E22" w:rsidRPr="00960E22" w:rsidRDefault="00960E22" w:rsidP="00960E22">
      <w:pPr>
        <w:pStyle w:val="ListeParagraf"/>
        <w:widowControl w:val="0"/>
        <w:autoSpaceDE w:val="0"/>
        <w:autoSpaceDN w:val="0"/>
        <w:adjustRightInd w:val="0"/>
        <w:ind w:left="-207"/>
        <w:jc w:val="both"/>
        <w:rPr>
          <w:rFonts w:ascii="Book Antiqua" w:hAnsi="Book Antiqua"/>
          <w:bCs/>
          <w:color w:val="363435"/>
          <w:sz w:val="22"/>
          <w:szCs w:val="22"/>
        </w:rPr>
      </w:pPr>
    </w:p>
    <w:p w:rsidR="00C46C17" w:rsidRPr="00960E22" w:rsidRDefault="00C46C17" w:rsidP="00960E22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/>
          <w:bCs/>
          <w:color w:val="363435"/>
          <w:sz w:val="22"/>
          <w:szCs w:val="22"/>
        </w:rPr>
        <w:t>Taze donmuş plazmalar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: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Merkezinde eritildikten sonra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k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>liniğe gönderilir, hemen takılır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. T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akılmaz ise,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Cross-Match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kartı üzerinde çıkış saati yazılı olduğundan, bu saatten itibaren 24 saat içinde klinikte buzdolabında saklanmak kaydıyla kullanılabilir.24 saati aşarsa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Merkezine gönderilerek imha edilir. Kesinlikle tekrar dondurulmaz.</w:t>
      </w:r>
    </w:p>
    <w:p w:rsidR="00C46C17" w:rsidRPr="008C4041" w:rsidRDefault="00C46C17" w:rsidP="008C4041">
      <w:pPr>
        <w:widowControl w:val="0"/>
        <w:autoSpaceDE w:val="0"/>
        <w:autoSpaceDN w:val="0"/>
        <w:adjustRightInd w:val="0"/>
        <w:ind w:left="-567"/>
        <w:jc w:val="both"/>
        <w:rPr>
          <w:rFonts w:ascii="Book Antiqua" w:hAnsi="Book Antiqua"/>
          <w:bCs/>
          <w:color w:val="363435"/>
          <w:sz w:val="22"/>
          <w:szCs w:val="22"/>
        </w:rPr>
      </w:pPr>
    </w:p>
    <w:p w:rsidR="00C46C17" w:rsidRPr="00960E22" w:rsidRDefault="00C46C17" w:rsidP="00960E22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/>
          <w:bCs/>
          <w:color w:val="363435"/>
          <w:sz w:val="22"/>
          <w:szCs w:val="22"/>
        </w:rPr>
        <w:t>Aferez trombosit veya trombosit süspansiyonları: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Merkezindeki ajitatör cihazından çıktıktan sonra hemen kullanılmalıdır.</w:t>
      </w:r>
      <w:r w:rsidR="00960E22">
        <w:rPr>
          <w:rFonts w:ascii="Book Antiqua" w:hAnsi="Book Antiqua"/>
          <w:bCs/>
          <w:color w:val="363435"/>
          <w:sz w:val="22"/>
          <w:szCs w:val="22"/>
        </w:rPr>
        <w:t xml:space="preserve"> 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15 dk. içinde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Merkezine gönderilirse ajitatör cihazında miadı dolana kadar saklanır. 15 dk.dan fazla klinikte kullanılmadan bekleyen trombositler </w:t>
      </w:r>
      <w:r w:rsidR="00960E22">
        <w:rPr>
          <w:rFonts w:ascii="Book Antiqua" w:hAnsi="Book Antiqua"/>
          <w:bCs/>
          <w:color w:val="363435"/>
          <w:sz w:val="22"/>
          <w:szCs w:val="22"/>
        </w:rPr>
        <w:t>Transfüzyon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Merkezinde imha edilir. </w:t>
      </w:r>
    </w:p>
    <w:p w:rsidR="00960E22" w:rsidRPr="00960E22" w:rsidRDefault="00960E22" w:rsidP="00960E22">
      <w:pPr>
        <w:pStyle w:val="ListeParagraf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C46C17" w:rsidRPr="00E15C0C" w:rsidRDefault="00C46C17" w:rsidP="00960E22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Cs/>
          <w:color w:val="363435"/>
          <w:sz w:val="22"/>
          <w:szCs w:val="22"/>
        </w:rPr>
      </w:pPr>
      <w:r w:rsidRPr="00E15C0C">
        <w:rPr>
          <w:rFonts w:ascii="Book Antiqua" w:hAnsi="Book Antiqua"/>
          <w:bCs/>
          <w:color w:val="363435"/>
          <w:sz w:val="22"/>
          <w:szCs w:val="22"/>
        </w:rPr>
        <w:t xml:space="preserve">İmha veya kontrol için gönderilen kan veya kan </w:t>
      </w:r>
      <w:r w:rsidR="003D3B43">
        <w:rPr>
          <w:rFonts w:ascii="Book Antiqua" w:hAnsi="Book Antiqua"/>
          <w:bCs/>
          <w:color w:val="363435"/>
          <w:sz w:val="22"/>
          <w:szCs w:val="22"/>
        </w:rPr>
        <w:t>ürün</w:t>
      </w:r>
      <w:r w:rsidRPr="00E15C0C">
        <w:rPr>
          <w:rFonts w:ascii="Book Antiqua" w:hAnsi="Book Antiqua"/>
          <w:bCs/>
          <w:color w:val="363435"/>
          <w:sz w:val="22"/>
          <w:szCs w:val="22"/>
        </w:rPr>
        <w:t xml:space="preserve">leri,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 xml:space="preserve">Kan ve Kan </w:t>
      </w:r>
      <w:r w:rsidR="003D3B43">
        <w:rPr>
          <w:rFonts w:ascii="Book Antiqua" w:hAnsi="Book Antiqua"/>
          <w:bCs/>
          <w:color w:val="363435"/>
          <w:sz w:val="22"/>
          <w:szCs w:val="22"/>
        </w:rPr>
        <w:t xml:space="preserve">Ürünleri </w:t>
      </w:r>
      <w:r w:rsidR="00960E22" w:rsidRPr="00E15C0C">
        <w:rPr>
          <w:rFonts w:ascii="Book Antiqua" w:hAnsi="Book Antiqua"/>
          <w:color w:val="000000"/>
          <w:sz w:val="22"/>
          <w:szCs w:val="22"/>
        </w:rPr>
        <w:t>Transfüzyon İzlem</w:t>
      </w:r>
      <w:r w:rsidRPr="00E15C0C">
        <w:rPr>
          <w:rFonts w:ascii="Book Antiqua" w:hAnsi="Book Antiqua"/>
          <w:color w:val="000000"/>
          <w:sz w:val="22"/>
          <w:szCs w:val="22"/>
        </w:rPr>
        <w:t xml:space="preserve"> Formu ile birlikte Transfüzyon Merkezine gönderilir.</w:t>
      </w:r>
    </w:p>
    <w:p w:rsidR="00960E22" w:rsidRPr="00960E22" w:rsidRDefault="00960E22" w:rsidP="00960E22">
      <w:pPr>
        <w:pStyle w:val="ListeParagraf"/>
        <w:widowControl w:val="0"/>
        <w:autoSpaceDE w:val="0"/>
        <w:autoSpaceDN w:val="0"/>
        <w:adjustRightInd w:val="0"/>
        <w:ind w:left="-207"/>
        <w:jc w:val="both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C46C17" w:rsidRPr="00960E22" w:rsidRDefault="00C46C17" w:rsidP="00960E22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İmhası yapılan kan ve kan </w:t>
      </w:r>
      <w:r w:rsidR="003D3B43">
        <w:rPr>
          <w:rFonts w:ascii="Book Antiqua" w:hAnsi="Book Antiqua"/>
          <w:bCs/>
          <w:color w:val="363435"/>
          <w:sz w:val="22"/>
          <w:szCs w:val="22"/>
        </w:rPr>
        <w:t>ü</w:t>
      </w:r>
      <w:r w:rsidR="00D958CD">
        <w:rPr>
          <w:rFonts w:ascii="Book Antiqua" w:hAnsi="Book Antiqua"/>
          <w:bCs/>
          <w:color w:val="363435"/>
          <w:sz w:val="22"/>
          <w:szCs w:val="22"/>
        </w:rPr>
        <w:t>rün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leri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tıbbi atık torbalarına atılır.</w:t>
      </w:r>
    </w:p>
    <w:p w:rsidR="00C46C17" w:rsidRPr="008C4041" w:rsidRDefault="00C46C17" w:rsidP="008C4041">
      <w:pPr>
        <w:widowControl w:val="0"/>
        <w:autoSpaceDE w:val="0"/>
        <w:autoSpaceDN w:val="0"/>
        <w:adjustRightInd w:val="0"/>
        <w:ind w:left="-567"/>
        <w:jc w:val="both"/>
        <w:rPr>
          <w:rFonts w:ascii="Book Antiqua" w:hAnsi="Book Antiqua"/>
          <w:bCs/>
          <w:color w:val="363435"/>
          <w:sz w:val="22"/>
          <w:szCs w:val="22"/>
        </w:rPr>
      </w:pPr>
    </w:p>
    <w:p w:rsidR="00C46C17" w:rsidRPr="00E15C0C" w:rsidRDefault="00C46C17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  <w:r w:rsidRPr="00E15C0C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İLGİLİ DÖKÜMANLAR</w:t>
      </w:r>
    </w:p>
    <w:p w:rsidR="00960E22" w:rsidRPr="008C4041" w:rsidRDefault="00960E22" w:rsidP="008C4041">
      <w:pPr>
        <w:widowControl w:val="0"/>
        <w:autoSpaceDE w:val="0"/>
        <w:autoSpaceDN w:val="0"/>
        <w:adjustRightInd w:val="0"/>
        <w:ind w:left="-567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C46C17" w:rsidRPr="00960E22" w:rsidRDefault="00C46C17" w:rsidP="00960E22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Cs/>
          <w:color w:val="363435"/>
          <w:sz w:val="22"/>
          <w:szCs w:val="22"/>
        </w:rPr>
        <w:t>Ulusal Kan ve Kan Ürünleri Rehberi</w:t>
      </w:r>
    </w:p>
    <w:p w:rsidR="00C46C17" w:rsidRPr="00960E22" w:rsidRDefault="00C46C17" w:rsidP="00960E22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Cs/>
          <w:color w:val="363435"/>
          <w:sz w:val="22"/>
          <w:szCs w:val="22"/>
        </w:rPr>
        <w:t>Transfüzyon Merkezi Kongre Kitapları</w:t>
      </w:r>
    </w:p>
    <w:p w:rsidR="00C46C17" w:rsidRPr="00960E22" w:rsidRDefault="00C46C17" w:rsidP="00960E22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960E22">
        <w:rPr>
          <w:rFonts w:ascii="Book Antiqua" w:hAnsi="Book Antiqua"/>
          <w:bCs/>
          <w:color w:val="363435"/>
          <w:sz w:val="22"/>
          <w:szCs w:val="22"/>
        </w:rPr>
        <w:t>Kan Transfüzyon El Kitabı</w:t>
      </w:r>
    </w:p>
    <w:p w:rsidR="00C46C17" w:rsidRPr="00960E22" w:rsidRDefault="00C46C17" w:rsidP="00960E22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  <w:bCs/>
          <w:color w:val="363435"/>
          <w:sz w:val="22"/>
          <w:szCs w:val="22"/>
        </w:rPr>
      </w:pP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Kan </w:t>
      </w:r>
      <w:r w:rsidR="00E15C0C">
        <w:rPr>
          <w:rFonts w:ascii="Book Antiqua" w:hAnsi="Book Antiqua"/>
          <w:bCs/>
          <w:color w:val="363435"/>
          <w:sz w:val="22"/>
          <w:szCs w:val="22"/>
        </w:rPr>
        <w:t xml:space="preserve">ve Kan </w:t>
      </w:r>
      <w:r w:rsidR="00D958CD">
        <w:rPr>
          <w:rFonts w:ascii="Book Antiqua" w:hAnsi="Book Antiqua"/>
          <w:bCs/>
          <w:color w:val="363435"/>
          <w:sz w:val="22"/>
          <w:szCs w:val="22"/>
        </w:rPr>
        <w:t>Ürün</w:t>
      </w:r>
      <w:r w:rsidR="00E15C0C">
        <w:rPr>
          <w:rFonts w:ascii="Book Antiqua" w:hAnsi="Book Antiqua"/>
          <w:bCs/>
          <w:color w:val="363435"/>
          <w:sz w:val="22"/>
          <w:szCs w:val="22"/>
        </w:rPr>
        <w:t>leri</w:t>
      </w:r>
      <w:r w:rsidRPr="00960E22">
        <w:rPr>
          <w:rFonts w:ascii="Book Antiqua" w:hAnsi="Book Antiqua"/>
          <w:bCs/>
          <w:color w:val="363435"/>
          <w:sz w:val="22"/>
          <w:szCs w:val="22"/>
        </w:rPr>
        <w:t xml:space="preserve"> Transfüzyon İzlem Formu</w:t>
      </w:r>
    </w:p>
    <w:p w:rsidR="003E7CC5" w:rsidRDefault="003E7CC5"/>
    <w:p w:rsidR="00DB3CB1" w:rsidRDefault="00DB3CB1"/>
    <w:p w:rsidR="003E7CC5" w:rsidRDefault="003E7CC5" w:rsidP="00CC1288">
      <w:pPr>
        <w:tabs>
          <w:tab w:val="left" w:pos="3735"/>
        </w:tabs>
      </w:pPr>
    </w:p>
    <w:p w:rsidR="003E09E7" w:rsidRDefault="003E09E7" w:rsidP="003E7CC5"/>
    <w:p w:rsidR="003E09E7" w:rsidRPr="003E09E7" w:rsidRDefault="003E09E7" w:rsidP="003E09E7"/>
    <w:p w:rsidR="003E09E7" w:rsidRPr="003E09E7" w:rsidRDefault="003E09E7" w:rsidP="003E09E7"/>
    <w:p w:rsidR="003E09E7" w:rsidRPr="003E09E7" w:rsidRDefault="003E09E7" w:rsidP="003E09E7"/>
    <w:p w:rsidR="003E09E7" w:rsidRDefault="003E09E7" w:rsidP="003E09E7"/>
    <w:p w:rsidR="003E09E7" w:rsidRDefault="003E09E7" w:rsidP="003E09E7"/>
    <w:tbl>
      <w:tblPr>
        <w:tblStyle w:val="TabloKlavuzu"/>
        <w:tblW w:w="0" w:type="auto"/>
        <w:tblLook w:val="04A0"/>
      </w:tblPr>
      <w:tblGrid>
        <w:gridCol w:w="3070"/>
        <w:gridCol w:w="3070"/>
        <w:gridCol w:w="3070"/>
      </w:tblGrid>
      <w:tr w:rsidR="003E09E7" w:rsidTr="003E09E7">
        <w:tc>
          <w:tcPr>
            <w:tcW w:w="3070" w:type="dxa"/>
          </w:tcPr>
          <w:p w:rsidR="003E09E7" w:rsidRDefault="003E09E7" w:rsidP="003E09E7">
            <w:r>
              <w:t>HAZIRLAYAN</w:t>
            </w:r>
          </w:p>
        </w:tc>
        <w:tc>
          <w:tcPr>
            <w:tcW w:w="3070" w:type="dxa"/>
          </w:tcPr>
          <w:p w:rsidR="003E09E7" w:rsidRDefault="003E09E7" w:rsidP="003E09E7">
            <w:r>
              <w:t>KONTROL EDEN</w:t>
            </w:r>
          </w:p>
        </w:tc>
        <w:tc>
          <w:tcPr>
            <w:tcW w:w="3070" w:type="dxa"/>
          </w:tcPr>
          <w:p w:rsidR="003E09E7" w:rsidRDefault="003E09E7" w:rsidP="003E09E7">
            <w:r>
              <w:t>ONAY</w:t>
            </w:r>
          </w:p>
          <w:p w:rsidR="003E09E7" w:rsidRDefault="003E09E7" w:rsidP="003E09E7"/>
          <w:p w:rsidR="003E09E7" w:rsidRDefault="003E09E7" w:rsidP="003E09E7"/>
          <w:p w:rsidR="003E09E7" w:rsidRDefault="003E09E7" w:rsidP="003E09E7"/>
        </w:tc>
      </w:tr>
    </w:tbl>
    <w:p w:rsidR="003E7CC5" w:rsidRPr="003E09E7" w:rsidRDefault="003E7CC5" w:rsidP="003E09E7"/>
    <w:sectPr w:rsidR="003E7CC5" w:rsidRPr="003E09E7" w:rsidSect="003E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95" w:rsidRDefault="00A85995" w:rsidP="00A32804">
      <w:r>
        <w:separator/>
      </w:r>
    </w:p>
  </w:endnote>
  <w:endnote w:type="continuationSeparator" w:id="1">
    <w:p w:rsidR="00A85995" w:rsidRDefault="00A85995" w:rsidP="00A3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BB" w:rsidRDefault="00FB2B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BB" w:rsidRDefault="00FB2BB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BB" w:rsidRDefault="00FB2B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95" w:rsidRDefault="00A85995" w:rsidP="00A32804">
      <w:r>
        <w:separator/>
      </w:r>
    </w:p>
  </w:footnote>
  <w:footnote w:type="continuationSeparator" w:id="1">
    <w:p w:rsidR="00A85995" w:rsidRDefault="00A85995" w:rsidP="00A3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BB" w:rsidRDefault="00FB2B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360"/>
      <w:tblW w:w="587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8"/>
      <w:gridCol w:w="716"/>
      <w:gridCol w:w="558"/>
      <w:gridCol w:w="1278"/>
      <w:gridCol w:w="1417"/>
      <w:gridCol w:w="1159"/>
      <w:gridCol w:w="1352"/>
      <w:gridCol w:w="1352"/>
      <w:gridCol w:w="1354"/>
    </w:tblGrid>
    <w:tr w:rsidR="009142BE" w:rsidRPr="00481CBC" w:rsidTr="009142BE">
      <w:trPr>
        <w:cantSplit/>
        <w:trHeight w:val="2152"/>
      </w:trPr>
      <w:tc>
        <w:tcPr>
          <w:tcW w:w="1084" w:type="pct"/>
          <w:gridSpan w:val="2"/>
          <w:vAlign w:val="center"/>
        </w:tcPr>
        <w:p w:rsidR="009142BE" w:rsidRDefault="00FB2BBB" w:rsidP="00133B2F">
          <w:pPr>
            <w:pStyle w:val="stbilgi"/>
            <w:jc w:val="center"/>
            <w:rPr>
              <w:rFonts w:ascii="Century Gothic" w:hAnsi="Century Gothic"/>
              <w:sz w:val="20"/>
            </w:rPr>
          </w:pPr>
          <w:r w:rsidRPr="00FB2BBB">
            <w:rPr>
              <w:rFonts w:ascii="Book Antiqua" w:hAnsi="Book Antiqua" w:cs="Tahoma"/>
              <w:b/>
              <w:bCs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106045" cy="1039301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4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pct"/>
          <w:gridSpan w:val="7"/>
          <w:vAlign w:val="center"/>
        </w:tcPr>
        <w:p w:rsidR="009142BE" w:rsidRDefault="009142BE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9142BE" w:rsidRDefault="009142BE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9142BE" w:rsidRPr="006241D8" w:rsidRDefault="003E09E7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9142BE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9142BE" w:rsidRDefault="009142BE" w:rsidP="00693F4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 xml:space="preserve">TRANSFÜZYON MERKEZİ </w:t>
          </w:r>
        </w:p>
        <w:p w:rsidR="009142BE" w:rsidRDefault="009142BE" w:rsidP="00414FB3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KAN VE KAN ÜRÜNLERİNİN İMHA TALİMATI</w:t>
          </w:r>
        </w:p>
      </w:tc>
    </w:tr>
    <w:tr w:rsidR="00A32804" w:rsidRPr="00481CBC" w:rsidTr="00133B2F">
      <w:trPr>
        <w:cantSplit/>
        <w:trHeight w:val="300"/>
      </w:trPr>
      <w:tc>
        <w:tcPr>
          <w:tcW w:w="753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D</w:t>
          </w:r>
          <w:r w:rsidR="001011BB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KÜMAN</w:t>
          </w:r>
          <w:r w:rsidRPr="007528C3">
            <w:rPr>
              <w:sz w:val="16"/>
              <w:szCs w:val="16"/>
            </w:rPr>
            <w:t xml:space="preserve"> KODU</w:t>
          </w:r>
        </w:p>
      </w:tc>
      <w:tc>
        <w:tcPr>
          <w:tcW w:w="589" w:type="pct"/>
          <w:gridSpan w:val="2"/>
          <w:vAlign w:val="center"/>
        </w:tcPr>
        <w:p w:rsidR="00A32804" w:rsidRPr="008B5C0B" w:rsidRDefault="001011BB" w:rsidP="00693F44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</w:t>
          </w:r>
          <w:r w:rsidR="008B5C0B">
            <w:rPr>
              <w:rFonts w:cstheme="minorHAnsi"/>
              <w:bCs/>
              <w:noProof/>
              <w:sz w:val="16"/>
              <w:szCs w:val="16"/>
            </w:rPr>
            <w:t>.</w:t>
          </w:r>
          <w:r>
            <w:rPr>
              <w:rFonts w:cstheme="minorHAnsi"/>
              <w:bCs/>
              <w:noProof/>
              <w:sz w:val="16"/>
              <w:szCs w:val="16"/>
            </w:rPr>
            <w:t>TL.02</w:t>
          </w:r>
        </w:p>
      </w:tc>
      <w:tc>
        <w:tcPr>
          <w:tcW w:w="591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YAY. TRH</w:t>
          </w:r>
        </w:p>
      </w:tc>
      <w:tc>
        <w:tcPr>
          <w:tcW w:w="655" w:type="pct"/>
          <w:vAlign w:val="center"/>
        </w:tcPr>
        <w:p w:rsidR="00A32804" w:rsidRPr="008B5C0B" w:rsidRDefault="003E09E7" w:rsidP="00133B2F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36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TRH</w:t>
          </w:r>
        </w:p>
      </w:tc>
      <w:tc>
        <w:tcPr>
          <w:tcW w:w="625" w:type="pct"/>
          <w:vAlign w:val="center"/>
        </w:tcPr>
        <w:p w:rsidR="00A32804" w:rsidRPr="00FB2BBB" w:rsidRDefault="00FB2BBB" w:rsidP="00133B2F">
          <w:pPr>
            <w:pStyle w:val="stbilgi"/>
            <w:jc w:val="center"/>
            <w:rPr>
              <w:rFonts w:ascii="Book Antiqua" w:hAnsi="Book Antiqua" w:cs="Tahoma"/>
              <w:bCs/>
              <w:noProof/>
              <w:sz w:val="16"/>
              <w:szCs w:val="16"/>
            </w:rPr>
          </w:pPr>
          <w:r w:rsidRPr="00FB2BBB">
            <w:rPr>
              <w:rFonts w:ascii="Book Antiqua" w:hAnsi="Book Antiqua" w:cs="Tahoma"/>
              <w:bCs/>
              <w:noProof/>
              <w:sz w:val="16"/>
              <w:szCs w:val="16"/>
            </w:rPr>
            <w:t>03.05.19</w:t>
          </w:r>
        </w:p>
      </w:tc>
      <w:tc>
        <w:tcPr>
          <w:tcW w:w="625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NO</w:t>
          </w:r>
        </w:p>
      </w:tc>
      <w:tc>
        <w:tcPr>
          <w:tcW w:w="626" w:type="pct"/>
          <w:vAlign w:val="center"/>
        </w:tcPr>
        <w:p w:rsidR="00A32804" w:rsidRPr="008B5C0B" w:rsidRDefault="008B5C0B" w:rsidP="00133B2F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8B5C0B">
            <w:rPr>
              <w:rFonts w:cstheme="minorHAnsi"/>
              <w:bCs/>
              <w:noProof/>
              <w:sz w:val="16"/>
              <w:szCs w:val="16"/>
            </w:rPr>
            <w:t>0</w:t>
          </w:r>
          <w:r w:rsidR="00FB2BBB">
            <w:rPr>
              <w:rFonts w:cstheme="minorHAnsi"/>
              <w:bCs/>
              <w:noProof/>
              <w:sz w:val="16"/>
              <w:szCs w:val="16"/>
            </w:rPr>
            <w:t>1</w:t>
          </w:r>
        </w:p>
      </w:tc>
    </w:tr>
  </w:tbl>
  <w:p w:rsidR="00A32804" w:rsidRDefault="00A3280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BB" w:rsidRDefault="00FB2B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A5B"/>
    <w:multiLevelType w:val="hybridMultilevel"/>
    <w:tmpl w:val="891C76D2"/>
    <w:lvl w:ilvl="0" w:tplc="27B00F6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14"/>
    <w:multiLevelType w:val="multilevel"/>
    <w:tmpl w:val="412EF88C"/>
    <w:lvl w:ilvl="0">
      <w:start w:val="1"/>
      <w:numFmt w:val="decimal"/>
      <w:lvlText w:val="%1.0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7" w:hanging="1800"/>
      </w:pPr>
      <w:rPr>
        <w:rFonts w:hint="default"/>
      </w:rPr>
    </w:lvl>
  </w:abstractNum>
  <w:abstractNum w:abstractNumId="2">
    <w:nsid w:val="4C1E6862"/>
    <w:multiLevelType w:val="hybridMultilevel"/>
    <w:tmpl w:val="32707118"/>
    <w:lvl w:ilvl="0" w:tplc="27B00F6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9956CCB"/>
    <w:multiLevelType w:val="hybridMultilevel"/>
    <w:tmpl w:val="00842832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DE011EF"/>
    <w:multiLevelType w:val="hybridMultilevel"/>
    <w:tmpl w:val="72127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01A76"/>
    <w:multiLevelType w:val="hybridMultilevel"/>
    <w:tmpl w:val="C6AEA718"/>
    <w:lvl w:ilvl="0" w:tplc="27B00F6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F555C"/>
    <w:multiLevelType w:val="hybridMultilevel"/>
    <w:tmpl w:val="F1E20D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D2A02"/>
    <w:multiLevelType w:val="hybridMultilevel"/>
    <w:tmpl w:val="AF26C6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32804"/>
    <w:rsid w:val="001011BB"/>
    <w:rsid w:val="0012576D"/>
    <w:rsid w:val="00173021"/>
    <w:rsid w:val="001754E8"/>
    <w:rsid w:val="002057ED"/>
    <w:rsid w:val="00316A9E"/>
    <w:rsid w:val="0033055D"/>
    <w:rsid w:val="003D3B43"/>
    <w:rsid w:val="003E09E7"/>
    <w:rsid w:val="003E7CC5"/>
    <w:rsid w:val="004462DD"/>
    <w:rsid w:val="00454AF6"/>
    <w:rsid w:val="005205C3"/>
    <w:rsid w:val="00531E0C"/>
    <w:rsid w:val="00547F65"/>
    <w:rsid w:val="005613ED"/>
    <w:rsid w:val="00592781"/>
    <w:rsid w:val="005C1362"/>
    <w:rsid w:val="0065728A"/>
    <w:rsid w:val="006650FF"/>
    <w:rsid w:val="00693F44"/>
    <w:rsid w:val="007552F4"/>
    <w:rsid w:val="00785902"/>
    <w:rsid w:val="007F083E"/>
    <w:rsid w:val="008B5C0B"/>
    <w:rsid w:val="008C4041"/>
    <w:rsid w:val="009142BE"/>
    <w:rsid w:val="00960E22"/>
    <w:rsid w:val="009F5152"/>
    <w:rsid w:val="00A01A26"/>
    <w:rsid w:val="00A324DF"/>
    <w:rsid w:val="00A32804"/>
    <w:rsid w:val="00A85995"/>
    <w:rsid w:val="00AB0E58"/>
    <w:rsid w:val="00AE53E5"/>
    <w:rsid w:val="00BC628E"/>
    <w:rsid w:val="00C05150"/>
    <w:rsid w:val="00C46C17"/>
    <w:rsid w:val="00C940A5"/>
    <w:rsid w:val="00CB37DE"/>
    <w:rsid w:val="00CC1288"/>
    <w:rsid w:val="00D12578"/>
    <w:rsid w:val="00D958CD"/>
    <w:rsid w:val="00DB3CB1"/>
    <w:rsid w:val="00E15C0C"/>
    <w:rsid w:val="00E7355E"/>
    <w:rsid w:val="00EC5358"/>
    <w:rsid w:val="00F467FB"/>
    <w:rsid w:val="00FB2BBB"/>
    <w:rsid w:val="00FB707D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2804"/>
  </w:style>
  <w:style w:type="paragraph" w:styleId="Altbilgi">
    <w:name w:val="footer"/>
    <w:basedOn w:val="Normal"/>
    <w:link w:val="AltbilgiChar"/>
    <w:uiPriority w:val="99"/>
    <w:semiHidden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2804"/>
  </w:style>
  <w:style w:type="paragraph" w:styleId="BalonMetni">
    <w:name w:val="Balloon Text"/>
    <w:basedOn w:val="Normal"/>
    <w:link w:val="BalonMetniChar"/>
    <w:uiPriority w:val="99"/>
    <w:semiHidden/>
    <w:unhideWhenUsed/>
    <w:rsid w:val="00A328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4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AFE5-4626-42BA-864C-D1846D5A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Dünya Bilgisayar</cp:lastModifiedBy>
  <cp:revision>7</cp:revision>
  <cp:lastPrinted>2020-01-29T10:39:00Z</cp:lastPrinted>
  <dcterms:created xsi:type="dcterms:W3CDTF">2017-02-01T18:06:00Z</dcterms:created>
  <dcterms:modified xsi:type="dcterms:W3CDTF">2020-01-29T10:39:00Z</dcterms:modified>
</cp:coreProperties>
</file>